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C76F0" w14:textId="789F2F85" w:rsidR="00350D4F" w:rsidRDefault="00140C14" w:rsidP="000856D6">
      <w:pPr>
        <w:spacing w:after="100" w:afterAutospacing="1"/>
        <w:outlineLvl w:val="1"/>
        <w:rPr>
          <w:rFonts w:ascii="Lato" w:eastAsia="Times New Roman" w:hAnsi="Lato" w:cs="Times New Roman"/>
          <w:color w:val="333333"/>
          <w:sz w:val="36"/>
          <w:szCs w:val="36"/>
        </w:rPr>
      </w:pPr>
      <w:r>
        <w:rPr>
          <w:rFonts w:ascii="Lato" w:eastAsia="Times New Roman" w:hAnsi="Lato" w:cs="Times New Roman"/>
          <w:noProof/>
          <w:color w:val="333333"/>
          <w:sz w:val="36"/>
          <w:szCs w:val="36"/>
        </w:rPr>
        <w:drawing>
          <wp:inline distT="0" distB="0" distL="0" distR="0" wp14:anchorId="0DEEF16A" wp14:editId="3F919E22">
            <wp:extent cx="1431851" cy="625782"/>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5"/>
                    <a:stretch>
                      <a:fillRect/>
                    </a:stretch>
                  </pic:blipFill>
                  <pic:spPr>
                    <a:xfrm>
                      <a:off x="0" y="0"/>
                      <a:ext cx="1467453" cy="641342"/>
                    </a:xfrm>
                    <a:prstGeom prst="rect">
                      <a:avLst/>
                    </a:prstGeom>
                  </pic:spPr>
                </pic:pic>
              </a:graphicData>
            </a:graphic>
          </wp:inline>
        </w:drawing>
      </w:r>
    </w:p>
    <w:p w14:paraId="4F4747FF" w14:textId="5CFC9066" w:rsidR="000856D6" w:rsidRPr="000856D6" w:rsidRDefault="000856D6" w:rsidP="000856D6">
      <w:pPr>
        <w:spacing w:after="100" w:afterAutospacing="1"/>
        <w:outlineLvl w:val="1"/>
        <w:rPr>
          <w:rFonts w:ascii="Lato" w:eastAsia="Times New Roman" w:hAnsi="Lato" w:cs="Times New Roman"/>
          <w:color w:val="333333"/>
          <w:sz w:val="36"/>
          <w:szCs w:val="36"/>
        </w:rPr>
      </w:pPr>
      <w:r w:rsidRPr="000856D6">
        <w:rPr>
          <w:rFonts w:ascii="Lato" w:eastAsia="Times New Roman" w:hAnsi="Lato" w:cs="Times New Roman"/>
          <w:color w:val="333333"/>
          <w:sz w:val="36"/>
          <w:szCs w:val="36"/>
        </w:rPr>
        <w:t>RECOMENDACIONES PARA PACIENTES EN TRATAMIENTO CON PLASMA RICO EN FACTORES DE CRECIMIENTO</w:t>
      </w:r>
    </w:p>
    <w:p w14:paraId="7CA1D866" w14:textId="77777777" w:rsidR="000856D6" w:rsidRPr="000856D6" w:rsidRDefault="000856D6" w:rsidP="000856D6">
      <w:pPr>
        <w:spacing w:after="100" w:afterAutospacing="1"/>
        <w:jc w:val="both"/>
        <w:rPr>
          <w:rFonts w:ascii="Lato" w:hAnsi="Lato" w:cs="Times New Roman"/>
          <w:color w:val="333333"/>
          <w:sz w:val="27"/>
          <w:szCs w:val="27"/>
        </w:rPr>
      </w:pPr>
      <w:r w:rsidRPr="000856D6">
        <w:rPr>
          <w:rFonts w:ascii="Lato" w:hAnsi="Lato" w:cs="Times New Roman"/>
          <w:color w:val="333333"/>
          <w:sz w:val="27"/>
          <w:szCs w:val="27"/>
        </w:rPr>
        <w:t>El PRGF (</w:t>
      </w:r>
      <w:proofErr w:type="spellStart"/>
      <w:r w:rsidRPr="000856D6">
        <w:rPr>
          <w:rFonts w:ascii="Lato" w:hAnsi="Lato" w:cs="Times New Roman"/>
          <w:color w:val="333333"/>
          <w:sz w:val="27"/>
          <w:szCs w:val="27"/>
        </w:rPr>
        <w:t>platelet</w:t>
      </w:r>
      <w:proofErr w:type="spellEnd"/>
      <w:r w:rsidRPr="000856D6">
        <w:rPr>
          <w:rFonts w:ascii="Lato" w:hAnsi="Lato" w:cs="Times New Roman"/>
          <w:color w:val="333333"/>
          <w:sz w:val="27"/>
          <w:szCs w:val="27"/>
        </w:rPr>
        <w:t xml:space="preserve"> </w:t>
      </w:r>
      <w:proofErr w:type="spellStart"/>
      <w:r w:rsidRPr="000856D6">
        <w:rPr>
          <w:rFonts w:ascii="Lato" w:hAnsi="Lato" w:cs="Times New Roman"/>
          <w:color w:val="333333"/>
          <w:sz w:val="27"/>
          <w:szCs w:val="27"/>
        </w:rPr>
        <w:t>rich</w:t>
      </w:r>
      <w:proofErr w:type="spellEnd"/>
      <w:r w:rsidRPr="000856D6">
        <w:rPr>
          <w:rFonts w:ascii="Lato" w:hAnsi="Lato" w:cs="Times New Roman"/>
          <w:color w:val="333333"/>
          <w:sz w:val="27"/>
          <w:szCs w:val="27"/>
        </w:rPr>
        <w:t xml:space="preserve"> </w:t>
      </w:r>
      <w:proofErr w:type="spellStart"/>
      <w:r w:rsidRPr="000856D6">
        <w:rPr>
          <w:rFonts w:ascii="Lato" w:hAnsi="Lato" w:cs="Times New Roman"/>
          <w:color w:val="333333"/>
          <w:sz w:val="27"/>
          <w:szCs w:val="27"/>
        </w:rPr>
        <w:t>grow</w:t>
      </w:r>
      <w:proofErr w:type="spellEnd"/>
      <w:r w:rsidRPr="000856D6">
        <w:rPr>
          <w:rFonts w:ascii="Lato" w:hAnsi="Lato" w:cs="Times New Roman"/>
          <w:color w:val="333333"/>
          <w:sz w:val="27"/>
          <w:szCs w:val="27"/>
        </w:rPr>
        <w:t xml:space="preserve"> </w:t>
      </w:r>
      <w:proofErr w:type="spellStart"/>
      <w:r w:rsidRPr="000856D6">
        <w:rPr>
          <w:rFonts w:ascii="Lato" w:hAnsi="Lato" w:cs="Times New Roman"/>
          <w:color w:val="333333"/>
          <w:sz w:val="27"/>
          <w:szCs w:val="27"/>
        </w:rPr>
        <w:t>factors</w:t>
      </w:r>
      <w:proofErr w:type="spellEnd"/>
      <w:r w:rsidRPr="000856D6">
        <w:rPr>
          <w:rFonts w:ascii="Lato" w:hAnsi="Lato" w:cs="Times New Roman"/>
          <w:color w:val="333333"/>
          <w:sz w:val="27"/>
          <w:szCs w:val="27"/>
        </w:rPr>
        <w:t xml:space="preserve">), o plasma rico en factores de crecimiento, es un tratamiento eficaz y seguro con evidencia clínica demostrada en patología degenerativa del aparato locomotor. Se extrae a partir de la sangre del propio paciente, por lo que es un tratamiento </w:t>
      </w:r>
      <w:proofErr w:type="spellStart"/>
      <w:r w:rsidRPr="000856D6">
        <w:rPr>
          <w:rFonts w:ascii="Lato" w:hAnsi="Lato" w:cs="Times New Roman"/>
          <w:color w:val="333333"/>
          <w:sz w:val="27"/>
          <w:szCs w:val="27"/>
        </w:rPr>
        <w:t>autólogo</w:t>
      </w:r>
      <w:proofErr w:type="spellEnd"/>
      <w:r w:rsidRPr="000856D6">
        <w:rPr>
          <w:rFonts w:ascii="Lato" w:hAnsi="Lato" w:cs="Times New Roman"/>
          <w:color w:val="333333"/>
          <w:sz w:val="27"/>
          <w:szCs w:val="27"/>
        </w:rPr>
        <w:t>, disminuyendo el riesgo de posibles efectos secundarios. </w:t>
      </w:r>
    </w:p>
    <w:p w14:paraId="67F7CE4B" w14:textId="77777777" w:rsidR="000856D6" w:rsidRPr="000856D6" w:rsidRDefault="000856D6" w:rsidP="000856D6">
      <w:pPr>
        <w:spacing w:after="100" w:afterAutospacing="1"/>
        <w:jc w:val="both"/>
        <w:rPr>
          <w:rFonts w:ascii="Lato" w:hAnsi="Lato" w:cs="Times New Roman"/>
          <w:color w:val="333333"/>
          <w:sz w:val="27"/>
          <w:szCs w:val="27"/>
        </w:rPr>
      </w:pPr>
      <w:r w:rsidRPr="000856D6">
        <w:rPr>
          <w:rFonts w:ascii="Lato" w:hAnsi="Lato" w:cs="Times New Roman"/>
          <w:color w:val="333333"/>
          <w:sz w:val="27"/>
          <w:szCs w:val="27"/>
        </w:rPr>
        <w:t>Debido a la alta variabilidad de procedimientos descritos y de dispositivos para su obtención que existen el mercado, el producto final puede no ser de la mejor calidad. El éxito radica en obtener un producto optimizado donde el mayor número de plaquetas no se agreguen y se activen antes de ser depositadas en el lugar que queremos tratar. </w:t>
      </w:r>
    </w:p>
    <w:p w14:paraId="28B1FC39" w14:textId="77777777" w:rsidR="000856D6" w:rsidRPr="000856D6" w:rsidRDefault="000856D6" w:rsidP="000856D6">
      <w:pPr>
        <w:spacing w:after="100" w:afterAutospacing="1"/>
        <w:jc w:val="both"/>
        <w:rPr>
          <w:rFonts w:ascii="Lato" w:hAnsi="Lato" w:cs="Times New Roman"/>
          <w:color w:val="333333"/>
          <w:sz w:val="27"/>
          <w:szCs w:val="27"/>
        </w:rPr>
      </w:pPr>
      <w:r w:rsidRPr="000856D6">
        <w:rPr>
          <w:rFonts w:ascii="Lato" w:hAnsi="Lato" w:cs="Times New Roman"/>
          <w:color w:val="333333"/>
          <w:sz w:val="27"/>
          <w:szCs w:val="27"/>
        </w:rPr>
        <w:t xml:space="preserve">A </w:t>
      </w:r>
      <w:proofErr w:type="spellStart"/>
      <w:r w:rsidRPr="000856D6">
        <w:rPr>
          <w:rFonts w:ascii="Lato" w:hAnsi="Lato" w:cs="Times New Roman"/>
          <w:color w:val="333333"/>
          <w:sz w:val="27"/>
          <w:szCs w:val="27"/>
        </w:rPr>
        <w:t>continuación,se</w:t>
      </w:r>
      <w:proofErr w:type="spellEnd"/>
      <w:r w:rsidRPr="000856D6">
        <w:rPr>
          <w:rFonts w:ascii="Lato" w:hAnsi="Lato" w:cs="Times New Roman"/>
          <w:color w:val="333333"/>
          <w:sz w:val="27"/>
          <w:szCs w:val="27"/>
        </w:rPr>
        <w:t xml:space="preserve"> muestran una serie de recomendaciones para el paciente que se va a someter a un tratamiento con plasma rico en factores de crecimiento tisular, para tenerlos en cuenta las semanas previas:</w:t>
      </w:r>
    </w:p>
    <w:p w14:paraId="4F25DC8A" w14:textId="77777777" w:rsidR="000856D6" w:rsidRPr="000856D6" w:rsidRDefault="000856D6" w:rsidP="000856D6">
      <w:pPr>
        <w:numPr>
          <w:ilvl w:val="0"/>
          <w:numId w:val="1"/>
        </w:numPr>
        <w:spacing w:before="100" w:beforeAutospacing="1" w:after="100" w:afterAutospacing="1"/>
        <w:rPr>
          <w:rFonts w:ascii="Lato" w:eastAsia="Times New Roman" w:hAnsi="Lato" w:cs="Times New Roman"/>
          <w:color w:val="333333"/>
          <w:sz w:val="27"/>
          <w:szCs w:val="27"/>
        </w:rPr>
      </w:pPr>
      <w:r w:rsidRPr="000856D6">
        <w:rPr>
          <w:rFonts w:ascii="Lato" w:eastAsia="Times New Roman" w:hAnsi="Lato" w:cs="Times New Roman"/>
          <w:i/>
          <w:iCs/>
          <w:color w:val="333333"/>
          <w:sz w:val="27"/>
          <w:szCs w:val="27"/>
        </w:rPr>
        <w:t>Tensión arterial.</w:t>
      </w:r>
      <w:r w:rsidRPr="000856D6">
        <w:rPr>
          <w:rFonts w:ascii="Lato" w:eastAsia="Times New Roman" w:hAnsi="Lato" w:cs="Times New Roman"/>
          <w:color w:val="333333"/>
          <w:sz w:val="27"/>
          <w:szCs w:val="27"/>
        </w:rPr>
        <w:t> Es recomendable que el paciente acuda con unas cifras tensionales controladas durante las semanas previas. Tensiones altas pueden disminuir la cantidad del concentrado de plaquetas y su calidad.</w:t>
      </w:r>
    </w:p>
    <w:p w14:paraId="7A8A7F0F" w14:textId="77777777" w:rsidR="000856D6" w:rsidRPr="000856D6" w:rsidRDefault="000856D6" w:rsidP="000856D6">
      <w:pPr>
        <w:numPr>
          <w:ilvl w:val="0"/>
          <w:numId w:val="1"/>
        </w:numPr>
        <w:spacing w:before="100" w:beforeAutospacing="1" w:after="100" w:afterAutospacing="1"/>
        <w:rPr>
          <w:rFonts w:ascii="Lato" w:eastAsia="Times New Roman" w:hAnsi="Lato" w:cs="Times New Roman"/>
          <w:color w:val="333333"/>
          <w:sz w:val="27"/>
          <w:szCs w:val="27"/>
        </w:rPr>
      </w:pPr>
      <w:r w:rsidRPr="000856D6">
        <w:rPr>
          <w:rFonts w:ascii="Lato" w:eastAsia="Times New Roman" w:hAnsi="Lato" w:cs="Times New Roman"/>
          <w:i/>
          <w:iCs/>
          <w:color w:val="333333"/>
          <w:sz w:val="27"/>
          <w:szCs w:val="27"/>
        </w:rPr>
        <w:t>Glucemia (azúcar en sangre)</w:t>
      </w:r>
      <w:r w:rsidRPr="000856D6">
        <w:rPr>
          <w:rFonts w:ascii="Lato" w:eastAsia="Times New Roman" w:hAnsi="Lato" w:cs="Times New Roman"/>
          <w:color w:val="333333"/>
          <w:sz w:val="27"/>
          <w:szCs w:val="27"/>
        </w:rPr>
        <w:t xml:space="preserve">. Debemos mantener controlado el azúcar en sangre, ya que son un estímulo para la agregación plaquetaria. Evitar alimentos elaborados azucarados (dulces, repostería industrial, </w:t>
      </w:r>
      <w:proofErr w:type="spellStart"/>
      <w:r w:rsidRPr="000856D6">
        <w:rPr>
          <w:rFonts w:ascii="Lato" w:eastAsia="Times New Roman" w:hAnsi="Lato" w:cs="Times New Roman"/>
          <w:color w:val="333333"/>
          <w:sz w:val="27"/>
          <w:szCs w:val="27"/>
        </w:rPr>
        <w:t>etc</w:t>
      </w:r>
      <w:proofErr w:type="spellEnd"/>
      <w:r w:rsidRPr="000856D6">
        <w:rPr>
          <w:rFonts w:ascii="Lato" w:eastAsia="Times New Roman" w:hAnsi="Lato" w:cs="Times New Roman"/>
          <w:color w:val="333333"/>
          <w:sz w:val="27"/>
          <w:szCs w:val="27"/>
        </w:rPr>
        <w:t>)</w:t>
      </w:r>
    </w:p>
    <w:p w14:paraId="2E3955FD" w14:textId="77777777" w:rsidR="000856D6" w:rsidRPr="000856D6" w:rsidRDefault="000856D6" w:rsidP="000856D6">
      <w:pPr>
        <w:numPr>
          <w:ilvl w:val="0"/>
          <w:numId w:val="1"/>
        </w:numPr>
        <w:spacing w:before="100" w:beforeAutospacing="1" w:after="100" w:afterAutospacing="1"/>
        <w:rPr>
          <w:rFonts w:ascii="Lato" w:eastAsia="Times New Roman" w:hAnsi="Lato" w:cs="Times New Roman"/>
          <w:color w:val="333333"/>
          <w:sz w:val="27"/>
          <w:szCs w:val="27"/>
        </w:rPr>
      </w:pPr>
      <w:r w:rsidRPr="000856D6">
        <w:rPr>
          <w:rFonts w:ascii="Lato" w:eastAsia="Times New Roman" w:hAnsi="Lato" w:cs="Times New Roman"/>
          <w:i/>
          <w:iCs/>
          <w:color w:val="333333"/>
          <w:sz w:val="27"/>
          <w:szCs w:val="27"/>
        </w:rPr>
        <w:t>Reducir el estrés físico y mental.</w:t>
      </w:r>
      <w:r w:rsidRPr="000856D6">
        <w:rPr>
          <w:rFonts w:ascii="Lato" w:eastAsia="Times New Roman" w:hAnsi="Lato" w:cs="Times New Roman"/>
          <w:color w:val="333333"/>
          <w:sz w:val="27"/>
          <w:szCs w:val="27"/>
        </w:rPr>
        <w:t> Se ha demostrado que el estrés deteriora la calidad del concentrado de plaquetas en cuanto a su composición. Puede tomar algún ansiolítico los días previos a la técnica.</w:t>
      </w:r>
    </w:p>
    <w:p w14:paraId="68A4A858" w14:textId="77777777" w:rsidR="000856D6" w:rsidRPr="000856D6" w:rsidRDefault="000856D6" w:rsidP="000856D6">
      <w:pPr>
        <w:numPr>
          <w:ilvl w:val="0"/>
          <w:numId w:val="1"/>
        </w:numPr>
        <w:spacing w:before="100" w:beforeAutospacing="1" w:after="100" w:afterAutospacing="1"/>
        <w:rPr>
          <w:rFonts w:ascii="Lato" w:eastAsia="Times New Roman" w:hAnsi="Lato" w:cs="Times New Roman"/>
          <w:color w:val="333333"/>
          <w:sz w:val="27"/>
          <w:szCs w:val="27"/>
        </w:rPr>
      </w:pPr>
      <w:r w:rsidRPr="000856D6">
        <w:rPr>
          <w:rFonts w:ascii="Lato" w:eastAsia="Times New Roman" w:hAnsi="Lato" w:cs="Times New Roman"/>
          <w:i/>
          <w:iCs/>
          <w:color w:val="333333"/>
          <w:sz w:val="27"/>
          <w:szCs w:val="27"/>
        </w:rPr>
        <w:t>Dieta</w:t>
      </w:r>
      <w:r w:rsidRPr="000856D6">
        <w:rPr>
          <w:rFonts w:ascii="Lato" w:eastAsia="Times New Roman" w:hAnsi="Lato" w:cs="Times New Roman"/>
          <w:color w:val="333333"/>
          <w:sz w:val="27"/>
          <w:szCs w:val="27"/>
        </w:rPr>
        <w:t>. La dieta puede alterar significativamente las propiedades regenerativas de las plaquetas, especialmente las dietas ricas en grasas saturadas, con exceso de azúcares refinados, por lo que debemos evitarlos.</w:t>
      </w:r>
    </w:p>
    <w:p w14:paraId="0FDB2538" w14:textId="77777777" w:rsidR="000856D6" w:rsidRPr="000856D6" w:rsidRDefault="000856D6" w:rsidP="000856D6">
      <w:pPr>
        <w:numPr>
          <w:ilvl w:val="0"/>
          <w:numId w:val="1"/>
        </w:numPr>
        <w:spacing w:before="100" w:beforeAutospacing="1" w:after="100" w:afterAutospacing="1"/>
        <w:rPr>
          <w:rFonts w:ascii="Lato" w:eastAsia="Times New Roman" w:hAnsi="Lato" w:cs="Times New Roman"/>
          <w:color w:val="333333"/>
          <w:sz w:val="27"/>
          <w:szCs w:val="27"/>
        </w:rPr>
      </w:pPr>
      <w:r w:rsidRPr="000856D6">
        <w:rPr>
          <w:rFonts w:ascii="Lato" w:eastAsia="Times New Roman" w:hAnsi="Lato" w:cs="Times New Roman"/>
          <w:i/>
          <w:iCs/>
          <w:color w:val="333333"/>
          <w:sz w:val="27"/>
          <w:szCs w:val="27"/>
        </w:rPr>
        <w:lastRenderedPageBreak/>
        <w:t>Bebidas</w:t>
      </w:r>
      <w:r w:rsidRPr="000856D6">
        <w:rPr>
          <w:rFonts w:ascii="Lato" w:eastAsia="Times New Roman" w:hAnsi="Lato" w:cs="Times New Roman"/>
          <w:color w:val="333333"/>
          <w:sz w:val="27"/>
          <w:szCs w:val="27"/>
        </w:rPr>
        <w:t>. Se debe evitar la cafeína, contenida en el café, té, bebidas energéticas, cola, etc.</w:t>
      </w:r>
    </w:p>
    <w:p w14:paraId="652F8260" w14:textId="77777777" w:rsidR="000856D6" w:rsidRPr="000856D6" w:rsidRDefault="000856D6" w:rsidP="000856D6">
      <w:pPr>
        <w:numPr>
          <w:ilvl w:val="0"/>
          <w:numId w:val="1"/>
        </w:numPr>
        <w:spacing w:before="100" w:beforeAutospacing="1" w:after="100" w:afterAutospacing="1"/>
        <w:rPr>
          <w:rFonts w:ascii="Lato" w:eastAsia="Times New Roman" w:hAnsi="Lato" w:cs="Times New Roman"/>
          <w:color w:val="333333"/>
          <w:sz w:val="27"/>
          <w:szCs w:val="27"/>
        </w:rPr>
      </w:pPr>
      <w:r w:rsidRPr="000856D6">
        <w:rPr>
          <w:rFonts w:ascii="Lato" w:eastAsia="Times New Roman" w:hAnsi="Lato" w:cs="Times New Roman"/>
          <w:color w:val="333333"/>
          <w:sz w:val="27"/>
          <w:szCs w:val="27"/>
        </w:rPr>
        <w:t xml:space="preserve">Debemos evitar chocolates, así como flavonoides (cebollas, manzanas, té y vinos), e </w:t>
      </w:r>
      <w:proofErr w:type="spellStart"/>
      <w:r w:rsidRPr="000856D6">
        <w:rPr>
          <w:rFonts w:ascii="Lato" w:eastAsia="Times New Roman" w:hAnsi="Lato" w:cs="Times New Roman"/>
          <w:color w:val="333333"/>
          <w:sz w:val="27"/>
          <w:szCs w:val="27"/>
        </w:rPr>
        <w:t>isoflavonas</w:t>
      </w:r>
      <w:proofErr w:type="spellEnd"/>
      <w:r w:rsidRPr="000856D6">
        <w:rPr>
          <w:rFonts w:ascii="Lato" w:eastAsia="Times New Roman" w:hAnsi="Lato" w:cs="Times New Roman"/>
          <w:color w:val="333333"/>
          <w:sz w:val="27"/>
          <w:szCs w:val="27"/>
        </w:rPr>
        <w:t xml:space="preserve"> (legumbres tales como la soja y los garbanzos)</w:t>
      </w:r>
    </w:p>
    <w:p w14:paraId="6AA97D15" w14:textId="77777777" w:rsidR="000856D6" w:rsidRPr="000856D6" w:rsidRDefault="000856D6" w:rsidP="000856D6">
      <w:pPr>
        <w:numPr>
          <w:ilvl w:val="0"/>
          <w:numId w:val="1"/>
        </w:numPr>
        <w:spacing w:before="100" w:beforeAutospacing="1" w:after="100" w:afterAutospacing="1"/>
        <w:rPr>
          <w:rFonts w:ascii="Lato" w:eastAsia="Times New Roman" w:hAnsi="Lato" w:cs="Times New Roman"/>
          <w:color w:val="333333"/>
          <w:sz w:val="27"/>
          <w:szCs w:val="27"/>
        </w:rPr>
      </w:pPr>
      <w:r w:rsidRPr="000856D6">
        <w:rPr>
          <w:rFonts w:ascii="Lato" w:eastAsia="Times New Roman" w:hAnsi="Lato" w:cs="Times New Roman"/>
          <w:i/>
          <w:iCs/>
          <w:color w:val="333333"/>
          <w:sz w:val="27"/>
          <w:szCs w:val="27"/>
        </w:rPr>
        <w:t>Alcohol</w:t>
      </w:r>
      <w:r w:rsidRPr="000856D6">
        <w:rPr>
          <w:rFonts w:ascii="Lato" w:eastAsia="Times New Roman" w:hAnsi="Lato" w:cs="Times New Roman"/>
          <w:color w:val="333333"/>
          <w:sz w:val="27"/>
          <w:szCs w:val="27"/>
        </w:rPr>
        <w:t>. Debemos evitarlo ya que reduce la activación plaquetaria y de estas sobre la trombina y el colágeno. </w:t>
      </w:r>
    </w:p>
    <w:p w14:paraId="0330712A" w14:textId="77777777" w:rsidR="000856D6" w:rsidRPr="000856D6" w:rsidRDefault="000856D6" w:rsidP="000856D6">
      <w:pPr>
        <w:numPr>
          <w:ilvl w:val="0"/>
          <w:numId w:val="1"/>
        </w:numPr>
        <w:spacing w:before="100" w:beforeAutospacing="1" w:after="100" w:afterAutospacing="1"/>
        <w:rPr>
          <w:rFonts w:ascii="Lato" w:eastAsia="Times New Roman" w:hAnsi="Lato" w:cs="Times New Roman"/>
          <w:color w:val="333333"/>
          <w:sz w:val="27"/>
          <w:szCs w:val="27"/>
        </w:rPr>
      </w:pPr>
      <w:r w:rsidRPr="000856D6">
        <w:rPr>
          <w:rFonts w:ascii="Lato" w:eastAsia="Times New Roman" w:hAnsi="Lato" w:cs="Times New Roman"/>
          <w:i/>
          <w:iCs/>
          <w:color w:val="333333"/>
          <w:sz w:val="27"/>
          <w:szCs w:val="27"/>
        </w:rPr>
        <w:t>El tabaco</w:t>
      </w:r>
      <w:r w:rsidRPr="000856D6">
        <w:rPr>
          <w:rFonts w:ascii="Lato" w:eastAsia="Times New Roman" w:hAnsi="Lato" w:cs="Times New Roman"/>
          <w:color w:val="333333"/>
          <w:sz w:val="27"/>
          <w:szCs w:val="27"/>
        </w:rPr>
        <w:t> aumenta la agregación plaquetaria, por lo que incluso 3 cigarrillos al día pueden empeorar el proceso.</w:t>
      </w:r>
    </w:p>
    <w:p w14:paraId="74720643" w14:textId="77777777" w:rsidR="000856D6" w:rsidRPr="000856D6" w:rsidRDefault="000856D6" w:rsidP="000856D6">
      <w:pPr>
        <w:numPr>
          <w:ilvl w:val="0"/>
          <w:numId w:val="1"/>
        </w:numPr>
        <w:spacing w:before="100" w:beforeAutospacing="1" w:after="100" w:afterAutospacing="1"/>
        <w:rPr>
          <w:rFonts w:ascii="Lato" w:eastAsia="Times New Roman" w:hAnsi="Lato" w:cs="Times New Roman"/>
          <w:color w:val="333333"/>
          <w:sz w:val="27"/>
          <w:szCs w:val="27"/>
        </w:rPr>
      </w:pPr>
      <w:r w:rsidRPr="000856D6">
        <w:rPr>
          <w:rFonts w:ascii="Lato" w:eastAsia="Times New Roman" w:hAnsi="Lato" w:cs="Times New Roman"/>
          <w:i/>
          <w:iCs/>
          <w:color w:val="333333"/>
          <w:sz w:val="27"/>
          <w:szCs w:val="27"/>
        </w:rPr>
        <w:t>Antiinflamatorios no esteroideos</w:t>
      </w:r>
      <w:r w:rsidRPr="000856D6">
        <w:rPr>
          <w:rFonts w:ascii="Lato" w:eastAsia="Times New Roman" w:hAnsi="Lato" w:cs="Times New Roman"/>
          <w:color w:val="333333"/>
          <w:sz w:val="27"/>
          <w:szCs w:val="27"/>
        </w:rPr>
        <w:t xml:space="preserve"> (AINE). Se deben interrumpir al menos 7 días </w:t>
      </w:r>
      <w:proofErr w:type="spellStart"/>
      <w:r w:rsidRPr="000856D6">
        <w:rPr>
          <w:rFonts w:ascii="Lato" w:eastAsia="Times New Roman" w:hAnsi="Lato" w:cs="Times New Roman"/>
          <w:color w:val="333333"/>
          <w:sz w:val="27"/>
          <w:szCs w:val="27"/>
        </w:rPr>
        <w:t>previosa</w:t>
      </w:r>
      <w:proofErr w:type="spellEnd"/>
      <w:r w:rsidRPr="000856D6">
        <w:rPr>
          <w:rFonts w:ascii="Lato" w:eastAsia="Times New Roman" w:hAnsi="Lato" w:cs="Times New Roman"/>
          <w:color w:val="333333"/>
          <w:sz w:val="27"/>
          <w:szCs w:val="27"/>
        </w:rPr>
        <w:t xml:space="preserve"> la técnica, y hasta un mes después de ella. </w:t>
      </w:r>
    </w:p>
    <w:p w14:paraId="55672669" w14:textId="77777777" w:rsidR="000856D6" w:rsidRPr="000856D6" w:rsidRDefault="000856D6" w:rsidP="000856D6">
      <w:pPr>
        <w:numPr>
          <w:ilvl w:val="0"/>
          <w:numId w:val="1"/>
        </w:numPr>
        <w:spacing w:before="100" w:beforeAutospacing="1" w:after="100" w:afterAutospacing="1"/>
        <w:rPr>
          <w:rFonts w:ascii="Lato" w:eastAsia="Times New Roman" w:hAnsi="Lato" w:cs="Times New Roman"/>
          <w:color w:val="333333"/>
          <w:sz w:val="27"/>
          <w:szCs w:val="27"/>
        </w:rPr>
      </w:pPr>
      <w:r w:rsidRPr="000856D6">
        <w:rPr>
          <w:rFonts w:ascii="Lato" w:eastAsia="Times New Roman" w:hAnsi="Lato" w:cs="Times New Roman"/>
          <w:i/>
          <w:iCs/>
          <w:color w:val="333333"/>
          <w:sz w:val="27"/>
          <w:szCs w:val="27"/>
        </w:rPr>
        <w:t>Corticoides</w:t>
      </w:r>
      <w:r w:rsidRPr="000856D6">
        <w:rPr>
          <w:rFonts w:ascii="Lato" w:eastAsia="Times New Roman" w:hAnsi="Lato" w:cs="Times New Roman"/>
          <w:color w:val="333333"/>
          <w:sz w:val="27"/>
          <w:szCs w:val="27"/>
        </w:rPr>
        <w:t>. Igualmente interrumpir de forma escalonada, evitando tomarlo la semana previa. </w:t>
      </w:r>
    </w:p>
    <w:p w14:paraId="71397477" w14:textId="77777777" w:rsidR="000856D6" w:rsidRPr="000856D6" w:rsidRDefault="000856D6" w:rsidP="000856D6">
      <w:pPr>
        <w:numPr>
          <w:ilvl w:val="0"/>
          <w:numId w:val="1"/>
        </w:numPr>
        <w:spacing w:before="100" w:beforeAutospacing="1" w:after="100" w:afterAutospacing="1"/>
        <w:rPr>
          <w:rFonts w:ascii="Lato" w:eastAsia="Times New Roman" w:hAnsi="Lato" w:cs="Times New Roman"/>
          <w:color w:val="333333"/>
          <w:sz w:val="27"/>
          <w:szCs w:val="27"/>
        </w:rPr>
      </w:pPr>
      <w:r w:rsidRPr="000856D6">
        <w:rPr>
          <w:rFonts w:ascii="Lato" w:eastAsia="Times New Roman" w:hAnsi="Lato" w:cs="Times New Roman"/>
          <w:i/>
          <w:iCs/>
          <w:color w:val="333333"/>
          <w:sz w:val="27"/>
          <w:szCs w:val="27"/>
        </w:rPr>
        <w:t>Antidepresivos tricíclicos (</w:t>
      </w:r>
      <w:proofErr w:type="spellStart"/>
      <w:r w:rsidRPr="000856D6">
        <w:rPr>
          <w:rFonts w:ascii="Lato" w:eastAsia="Times New Roman" w:hAnsi="Lato" w:cs="Times New Roman"/>
          <w:i/>
          <w:iCs/>
          <w:color w:val="333333"/>
          <w:sz w:val="27"/>
          <w:szCs w:val="27"/>
        </w:rPr>
        <w:t>amitriptilina</w:t>
      </w:r>
      <w:proofErr w:type="spellEnd"/>
      <w:r w:rsidRPr="000856D6">
        <w:rPr>
          <w:rFonts w:ascii="Lato" w:eastAsia="Times New Roman" w:hAnsi="Lato" w:cs="Times New Roman"/>
          <w:i/>
          <w:iCs/>
          <w:color w:val="333333"/>
          <w:sz w:val="27"/>
          <w:szCs w:val="27"/>
        </w:rPr>
        <w:t>)</w:t>
      </w:r>
      <w:r w:rsidRPr="000856D6">
        <w:rPr>
          <w:rFonts w:ascii="Lato" w:eastAsia="Times New Roman" w:hAnsi="Lato" w:cs="Times New Roman"/>
          <w:color w:val="333333"/>
          <w:sz w:val="27"/>
          <w:szCs w:val="27"/>
        </w:rPr>
        <w:t xml:space="preserve">. Suspenderlo la semana previa. l)Antidepresivos de tipo ISRS (inhibidor selectivo de </w:t>
      </w:r>
      <w:proofErr w:type="spellStart"/>
      <w:r w:rsidRPr="000856D6">
        <w:rPr>
          <w:rFonts w:ascii="Lato" w:eastAsia="Times New Roman" w:hAnsi="Lato" w:cs="Times New Roman"/>
          <w:color w:val="333333"/>
          <w:sz w:val="27"/>
          <w:szCs w:val="27"/>
        </w:rPr>
        <w:t>recaptación</w:t>
      </w:r>
      <w:proofErr w:type="spellEnd"/>
      <w:r w:rsidRPr="000856D6">
        <w:rPr>
          <w:rFonts w:ascii="Lato" w:eastAsia="Times New Roman" w:hAnsi="Lato" w:cs="Times New Roman"/>
          <w:color w:val="333333"/>
          <w:sz w:val="27"/>
          <w:szCs w:val="27"/>
        </w:rPr>
        <w:t xml:space="preserve"> de serotonina). Evitarlos la semana previa.</w:t>
      </w:r>
    </w:p>
    <w:p w14:paraId="4435EFC4" w14:textId="77777777" w:rsidR="000856D6" w:rsidRPr="000856D6" w:rsidRDefault="000856D6" w:rsidP="000856D6">
      <w:pPr>
        <w:numPr>
          <w:ilvl w:val="0"/>
          <w:numId w:val="1"/>
        </w:numPr>
        <w:spacing w:before="100" w:beforeAutospacing="1" w:after="100" w:afterAutospacing="1"/>
        <w:rPr>
          <w:rFonts w:ascii="Lato" w:eastAsia="Times New Roman" w:hAnsi="Lato" w:cs="Times New Roman"/>
          <w:color w:val="333333"/>
          <w:sz w:val="27"/>
          <w:szCs w:val="27"/>
        </w:rPr>
      </w:pPr>
      <w:r w:rsidRPr="000856D6">
        <w:rPr>
          <w:rFonts w:ascii="Lato" w:eastAsia="Times New Roman" w:hAnsi="Lato" w:cs="Times New Roman"/>
          <w:color w:val="333333"/>
          <w:sz w:val="27"/>
          <w:szCs w:val="27"/>
        </w:rPr>
        <w:t>Igualmente los antibióticos y los antihistamínicos, deben abandonarse al menos 7 días previos.</w:t>
      </w:r>
    </w:p>
    <w:p w14:paraId="643C19D4" w14:textId="77777777" w:rsidR="004C74DA" w:rsidRDefault="004C74DA"/>
    <w:sectPr w:rsidR="004C74DA" w:rsidSect="003C5C4A">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Lato">
    <w:panose1 w:val="020F0502020204030203"/>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397E51"/>
    <w:multiLevelType w:val="multilevel"/>
    <w:tmpl w:val="78DE4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56D6"/>
    <w:rsid w:val="000856D6"/>
    <w:rsid w:val="00140C14"/>
    <w:rsid w:val="00350D4F"/>
    <w:rsid w:val="003C5C4A"/>
    <w:rsid w:val="004C74DA"/>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AF3C64"/>
  <w14:defaultImageDpi w14:val="300"/>
  <w15:docId w15:val="{13662227-B766-794C-AB91-D68E2626E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0856D6"/>
    <w:pPr>
      <w:spacing w:before="100" w:beforeAutospacing="1" w:after="100" w:afterAutospacing="1"/>
      <w:outlineLvl w:val="1"/>
    </w:pPr>
    <w:rPr>
      <w:rFonts w:ascii="Times" w:hAnsi="Times"/>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0856D6"/>
    <w:rPr>
      <w:rFonts w:ascii="Times" w:hAnsi="Times"/>
      <w:b/>
      <w:bCs/>
      <w:sz w:val="36"/>
      <w:szCs w:val="36"/>
    </w:rPr>
  </w:style>
  <w:style w:type="paragraph" w:styleId="NormalWeb">
    <w:name w:val="Normal (Web)"/>
    <w:basedOn w:val="Normal"/>
    <w:uiPriority w:val="99"/>
    <w:semiHidden/>
    <w:unhideWhenUsed/>
    <w:rsid w:val="000856D6"/>
    <w:pPr>
      <w:spacing w:before="100" w:beforeAutospacing="1" w:after="100" w:afterAutospacing="1"/>
    </w:pPr>
    <w:rPr>
      <w:rFonts w:ascii="Times" w:hAnsi="Times" w:cs="Times New Roman"/>
      <w:sz w:val="20"/>
      <w:szCs w:val="20"/>
    </w:rPr>
  </w:style>
  <w:style w:type="character" w:customStyle="1" w:styleId="apple-converted-space">
    <w:name w:val="apple-converted-space"/>
    <w:basedOn w:val="Fuentedeprrafopredeter"/>
    <w:rsid w:val="000856D6"/>
  </w:style>
  <w:style w:type="character" w:styleId="nfasis">
    <w:name w:val="Emphasis"/>
    <w:basedOn w:val="Fuentedeprrafopredeter"/>
    <w:uiPriority w:val="20"/>
    <w:qFormat/>
    <w:rsid w:val="000856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0195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429</Words>
  <Characters>2362</Characters>
  <Application>Microsoft Office Word</Application>
  <DocSecurity>0</DocSecurity>
  <Lines>19</Lines>
  <Paragraphs>5</Paragraphs>
  <ScaleCrop>false</ScaleCrop>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Microsoft Office User</cp:lastModifiedBy>
  <cp:revision>3</cp:revision>
  <dcterms:created xsi:type="dcterms:W3CDTF">2022-03-05T07:04:00Z</dcterms:created>
  <dcterms:modified xsi:type="dcterms:W3CDTF">2022-11-13T22:20:00Z</dcterms:modified>
</cp:coreProperties>
</file>